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/>
      </w:pPr>
      <w:r>
        <w:drawing>
          <wp:inline distT="0" distB="0" distL="0" distR="0">
            <wp:extent cx="247650" cy="247650"/>
            <wp:effectExtent t="0" r="0" b="0" l="0"/>
            <wp:docPr id="1" name="rwi-icon" descr="RW Institute brain icon" title="RW Institu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lus Jakarta Sans" w:cs="Plus Jakarta Sans" w:eastAsia="Plus Jakarta Sans" w:hAnsi="Plus Jakarta Sans"/>
          <w:b/>
          <w:bCs/>
          <w:color w:val="0B1D32"/>
          <w:sz w:val="22"/>
          <w:szCs w:val="22"/>
        </w:rPr>
        <w:t xml:space="preserve">  RW</w:t>
      </w:r>
      <w:r>
        <w:rPr>
          <w:rFonts w:ascii="Plus Jakarta Sans" w:cs="Plus Jakarta Sans" w:eastAsia="Plus Jakarta Sans" w:hAnsi="Plus Jakarta Sans"/>
          <w:color w:val="475569"/>
          <w:sz w:val="22"/>
          <w:szCs w:val="22"/>
        </w:rPr>
        <w:t xml:space="preserve"> Institute</w:t>
      </w:r>
    </w:p>
    <w:p>
      <w:pPr>
        <w:pStyle w:val="Heading1"/>
      </w:pPr>
      <w:r>
        <w:rPr>
          <w:rFonts w:ascii="Plus Jakarta Sans" w:cs="Plus Jakarta Sans" w:eastAsia="Plus Jakarta Sans" w:hAnsi="Plus Jakarta Sans"/>
          <w:b/>
          <w:bCs/>
          <w:color w:val="0B1D32"/>
          <w:sz w:val="30"/>
          <w:szCs w:val="30"/>
        </w:rPr>
        <w:t xml:space="preserve">Safe Data Handling: Three Options</w:t>
      </w:r>
    </w:p>
    <w:p>
      <w:pPr>
        <w:pBdr>
          <w:bottom w:val="single" w:color="F15A2E" w:sz="8" w:space="1"/>
        </w:pBdr>
        <w:tabs>
          <w:tab w:val="right" w:pos="9026"/>
        </w:tabs>
        <w:spacing w:after="200"/>
      </w:pPr>
      <w:r>
        <w:rPr>
          <w:rFonts w:ascii="Inter" w:cs="Inter" w:eastAsia="Inter" w:hAnsi="Inter"/>
          <w:color w:val="475569"/>
          <w:sz w:val="18"/>
          <w:szCs w:val="18"/>
        </w:rPr>
        <w:t xml:space="preserve">For discussion with Wells Fargo</w:t>
      </w:r>
      <w:r>
        <w:rPr>
          <w:rFonts w:ascii="Inter" w:cs="Inter" w:eastAsia="Inter" w:hAnsi="Inter"/>
          <w:color w:val="475569"/>
          <w:sz w:val="18"/>
          <w:szCs w:val="18"/>
        </w:rPr>
        <w:t xml:space="preserve">	RW Institute · June 11, 2026</w:t>
      </w:r>
    </w:p>
    <w:p>
      <w:pPr>
        <w:spacing w:after="120"/>
      </w:pPr>
      <w:r>
        <w:rPr>
          <w:rFonts w:ascii="Inter" w:cs="Inter" w:eastAsia="Inter" w:hAnsi="Inter"/>
          <w:b w:val="false"/>
          <w:bCs w:val="false"/>
          <w:i w:val="false"/>
          <w:iCs w:val="false"/>
          <w:color w:val="213147"/>
          <w:sz w:val="20"/>
          <w:szCs w:val="20"/>
        </w:rPr>
        <w:t xml:space="preserve">The labs rest on one rule: nothing identifying leaves the protected environment, and the substantive work still gets done in frontier AI tools. Three techniques satisfy that rule. They are not mutually exclusive; most programs end up using all three, chosen per task by a simple classification habit (green: travels as-is; yellow: travels transformed; red: never leaves). The question for Wells Fargo is which technique becomes the default we drill weekly, and which constraints decide the others.</w:t>
      </w:r>
    </w:p>
    <w:p>
      <w:pPr>
        <w:pStyle w:val="Heading2"/>
        <w:spacing w:after="100" w:before="220"/>
      </w:pPr>
      <w:r>
        <w:rPr>
          <w:rFonts w:ascii="Plus Jakarta Sans" w:cs="Plus Jakarta Sans" w:eastAsia="Plus Jakarta Sans" w:hAnsi="Plus Jakarta Sans"/>
          <w:b/>
          <w:bCs/>
          <w:color w:val="0B1D32"/>
          <w:sz w:val="22"/>
          <w:szCs w:val="22"/>
        </w:rPr>
        <w:t xml:space="preserve">Option 1: Token substitution with a container-held map</w:t>
      </w:r>
    </w:p>
    <w:p>
      <w:pPr>
        <w:spacing w:after="120"/>
      </w:pPr>
      <w:r>
        <w:rPr>
          <w:rFonts w:ascii="Inter" w:cs="Inter" w:eastAsia="Inter" w:hAnsi="Inter"/>
          <w:b w:val="false"/>
          <w:bCs w:val="false"/>
          <w:i w:val="false"/>
          <w:iCs w:val="false"/>
          <w:color w:val="213147"/>
          <w:sz w:val="20"/>
          <w:szCs w:val="20"/>
        </w:rPr>
        <w:t xml:space="preserve">Names, organizations, and identifying details get swapped for tokens (PERSON-1, ORG-A) before export. The mapping table stays inside the Wells Fargo container; results are re-identified on return.</w:t>
      </w:r>
    </w:p>
    <w:p>
      <w:pPr>
        <w:spacing w:after="60" w:before="60"/>
      </w:pPr>
      <w:r>
        <w:rPr>
          <w:rFonts w:ascii="Inter" w:cs="Inter" w:eastAsia="Inter" w:hAnsi="Inter"/>
          <w:b/>
          <w:bCs/>
          <w:color w:val="475569"/>
          <w:sz w:val="18"/>
          <w:szCs w:val="18"/>
        </w:rPr>
        <w:t xml:space="preserve">Fits when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rFonts w:ascii="Inter" w:cs="Inter" w:eastAsia="Inter" w:hAnsi="Inter"/>
          <w:b w:val="false"/>
          <w:bCs w:val="false"/>
          <w:i w:val="false"/>
          <w:iCs w:val="false"/>
          <w:color w:val="213147"/>
          <w:sz w:val="20"/>
          <w:szCs w:val="20"/>
        </w:rPr>
        <w:t xml:space="preserve">The work needs the real structure of real records: grant reviews, portfolio analysis, report drafting from actual program data.</w:t>
      </w:r>
    </w:p>
    <w:p>
      <w:pPr>
        <w:spacing w:after="60" w:before="60"/>
      </w:pPr>
      <w:r>
        <w:rPr>
          <w:rFonts w:ascii="Inter" w:cs="Inter" w:eastAsia="Inter" w:hAnsi="Inter"/>
          <w:b/>
          <w:bCs/>
          <w:color w:val="475569"/>
          <w:sz w:val="18"/>
          <w:szCs w:val="18"/>
        </w:rPr>
        <w:t xml:space="preserve">Strengths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rFonts w:ascii="Inter" w:cs="Inter" w:eastAsia="Inter" w:hAnsi="Inter"/>
          <w:b w:val="false"/>
          <w:bCs w:val="false"/>
          <w:i w:val="false"/>
          <w:iCs w:val="false"/>
          <w:color w:val="213147"/>
          <w:sz w:val="20"/>
          <w:szCs w:val="20"/>
        </w:rPr>
        <w:t xml:space="preserve">Real data shape, real insights; the map never travels; the routine is teachable in one session and auditable afterward.</w:t>
      </w:r>
    </w:p>
    <w:p>
      <w:pPr>
        <w:spacing w:after="60" w:before="60"/>
      </w:pPr>
      <w:r>
        <w:rPr>
          <w:rFonts w:ascii="Inter" w:cs="Inter" w:eastAsia="Inter" w:hAnsi="Inter"/>
          <w:b/>
          <w:bCs/>
          <w:color w:val="475569"/>
          <w:sz w:val="18"/>
          <w:szCs w:val="18"/>
        </w:rPr>
        <w:t xml:space="preserve">Costs and limits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rFonts w:ascii="Inter" w:cs="Inter" w:eastAsia="Inter" w:hAnsi="Inter"/>
          <w:b w:val="false"/>
          <w:bCs w:val="false"/>
          <w:i w:val="false"/>
          <w:iCs w:val="false"/>
          <w:color w:val="213147"/>
          <w:sz w:val="20"/>
          <w:szCs w:val="20"/>
        </w:rPr>
        <w:t xml:space="preserve">Manual minutes per task; weak against re-identification when context itself identifies (a $95K grant to the only clinic in one county is identifiable with no names at all). That judgment call is exactly what the weekly practice trains.</w:t>
      </w:r>
    </w:p>
    <w:p>
      <w:pPr>
        <w:pStyle w:val="Heading2"/>
        <w:spacing w:after="100" w:before="220"/>
      </w:pPr>
      <w:r>
        <w:rPr>
          <w:rFonts w:ascii="Plus Jakarta Sans" w:cs="Plus Jakarta Sans" w:eastAsia="Plus Jakarta Sans" w:hAnsi="Plus Jakarta Sans"/>
          <w:b/>
          <w:bCs/>
          <w:color w:val="0B1D32"/>
          <w:sz w:val="22"/>
          <w:szCs w:val="22"/>
        </w:rPr>
        <w:t xml:space="preserve">Option 2: Synthetic stand-in data</w:t>
      </w:r>
    </w:p>
    <w:p>
      <w:pPr>
        <w:spacing w:after="120"/>
      </w:pPr>
      <w:r>
        <w:rPr>
          <w:rFonts w:ascii="Inter" w:cs="Inter" w:eastAsia="Inter" w:hAnsi="Inter"/>
          <w:b w:val="false"/>
          <w:bCs w:val="false"/>
          <w:i w:val="false"/>
          <w:iCs w:val="false"/>
          <w:color w:val="213147"/>
          <w:sz w:val="20"/>
          <w:szCs w:val="20"/>
        </w:rPr>
        <w:t xml:space="preserve">Fictional datasets and documents shaped like the real thing: same columns, same diseases, same mess, zero real records. Participants learn and test every motion on stand-ins, then run the proven motion on real data inside their own environment.</w:t>
      </w:r>
    </w:p>
    <w:p>
      <w:pPr>
        <w:spacing w:after="60" w:before="60"/>
      </w:pPr>
      <w:r>
        <w:rPr>
          <w:rFonts w:ascii="Inter" w:cs="Inter" w:eastAsia="Inter" w:hAnsi="Inter"/>
          <w:b/>
          <w:bCs/>
          <w:color w:val="475569"/>
          <w:sz w:val="18"/>
          <w:szCs w:val="18"/>
        </w:rPr>
        <w:t xml:space="preserve">Fits when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rFonts w:ascii="Inter" w:cs="Inter" w:eastAsia="Inter" w:hAnsi="Inter"/>
          <w:b w:val="false"/>
          <w:bCs w:val="false"/>
          <w:i w:val="false"/>
          <w:iCs w:val="false"/>
          <w:color w:val="213147"/>
          <w:sz w:val="20"/>
          <w:szCs w:val="20"/>
        </w:rPr>
        <w:t xml:space="preserve">Skill-building, prompt development, and anything shared across organizations in a mixed cohort, which is why every practice file in this curriculum is already synthetic.</w:t>
      </w:r>
    </w:p>
    <w:p>
      <w:pPr>
        <w:spacing w:after="60" w:before="60"/>
      </w:pPr>
      <w:r>
        <w:rPr>
          <w:rFonts w:ascii="Inter" w:cs="Inter" w:eastAsia="Inter" w:hAnsi="Inter"/>
          <w:b/>
          <w:bCs/>
          <w:color w:val="475569"/>
          <w:sz w:val="18"/>
          <w:szCs w:val="18"/>
        </w:rPr>
        <w:t xml:space="preserve">Strengths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rFonts w:ascii="Inter" w:cs="Inter" w:eastAsia="Inter" w:hAnsi="Inter"/>
          <w:b w:val="false"/>
          <w:bCs w:val="false"/>
          <w:i w:val="false"/>
          <w:iCs w:val="false"/>
          <w:color w:val="213147"/>
          <w:sz w:val="20"/>
          <w:szCs w:val="20"/>
        </w:rPr>
        <w:t xml:space="preserve">Zero exposure by construction; freely shareable; failures are free.</w:t>
      </w:r>
    </w:p>
    <w:p>
      <w:pPr>
        <w:spacing w:after="60" w:before="60"/>
      </w:pPr>
      <w:r>
        <w:rPr>
          <w:rFonts w:ascii="Inter" w:cs="Inter" w:eastAsia="Inter" w:hAnsi="Inter"/>
          <w:b/>
          <w:bCs/>
          <w:color w:val="475569"/>
          <w:sz w:val="18"/>
          <w:szCs w:val="18"/>
        </w:rPr>
        <w:t xml:space="preserve">Costs and limits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rFonts w:ascii="Inter" w:cs="Inter" w:eastAsia="Inter" w:hAnsi="Inter"/>
          <w:b w:val="false"/>
          <w:bCs w:val="false"/>
          <w:i w:val="false"/>
          <w:iCs w:val="false"/>
          <w:color w:val="213147"/>
          <w:sz w:val="20"/>
          <w:szCs w:val="20"/>
        </w:rPr>
        <w:t xml:space="preserve">Insights from synthetic data are about the method, not the portfolio; someone has to build good stand-ins that carry the real mess.</w:t>
      </w:r>
    </w:p>
    <w:p>
      <w:pPr>
        <w:pStyle w:val="Heading2"/>
        <w:spacing w:after="100" w:before="220"/>
      </w:pPr>
      <w:r>
        <w:rPr>
          <w:rFonts w:ascii="Plus Jakarta Sans" w:cs="Plus Jakarta Sans" w:eastAsia="Plus Jakarta Sans" w:hAnsi="Plus Jakarta Sans"/>
          <w:b/>
          <w:bCs/>
          <w:color w:val="0B1D32"/>
          <w:sz w:val="22"/>
          <w:szCs w:val="22"/>
        </w:rPr>
        <w:t xml:space="preserve">Option 3: Aggregate-only export</w:t>
      </w:r>
    </w:p>
    <w:p>
      <w:pPr>
        <w:spacing w:after="120"/>
      </w:pPr>
      <w:r>
        <w:rPr>
          <w:rFonts w:ascii="Inter" w:cs="Inter" w:eastAsia="Inter" w:hAnsi="Inter"/>
          <w:b w:val="false"/>
          <w:bCs w:val="false"/>
          <w:i w:val="false"/>
          <w:iCs w:val="false"/>
          <w:color w:val="213147"/>
          <w:sz w:val="20"/>
          <w:szCs w:val="20"/>
        </w:rPr>
        <w:t xml:space="preserve">Only summaries cross the boundary: totals, counts, percentages, trends, with no row-level records at all. The frontier tool works on the aggregates (narrative, board framing, visualization judgment) while row-level work stays inside the container.</w:t>
      </w:r>
    </w:p>
    <w:p>
      <w:pPr>
        <w:spacing w:after="60" w:before="60"/>
      </w:pPr>
      <w:r>
        <w:rPr>
          <w:rFonts w:ascii="Inter" w:cs="Inter" w:eastAsia="Inter" w:hAnsi="Inter"/>
          <w:b/>
          <w:bCs/>
          <w:color w:val="475569"/>
          <w:sz w:val="18"/>
          <w:szCs w:val="18"/>
        </w:rPr>
        <w:t xml:space="preserve">Fits when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rFonts w:ascii="Inter" w:cs="Inter" w:eastAsia="Inter" w:hAnsi="Inter"/>
          <w:b w:val="false"/>
          <w:bCs w:val="false"/>
          <w:i w:val="false"/>
          <w:iCs w:val="false"/>
          <w:color w:val="213147"/>
          <w:sz w:val="20"/>
          <w:szCs w:val="20"/>
        </w:rPr>
        <w:t xml:space="preserve">Board reporting, impact narrative, and communications, where the story needs the numbers but never the names.</w:t>
      </w:r>
    </w:p>
    <w:p>
      <w:pPr>
        <w:spacing w:after="60" w:before="60"/>
      </w:pPr>
      <w:r>
        <w:rPr>
          <w:rFonts w:ascii="Inter" w:cs="Inter" w:eastAsia="Inter" w:hAnsi="Inter"/>
          <w:b/>
          <w:bCs/>
          <w:color w:val="475569"/>
          <w:sz w:val="18"/>
          <w:szCs w:val="18"/>
        </w:rPr>
        <w:t xml:space="preserve">Strengths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rFonts w:ascii="Inter" w:cs="Inter" w:eastAsia="Inter" w:hAnsi="Inter"/>
          <w:b w:val="false"/>
          <w:bCs w:val="false"/>
          <w:i w:val="false"/>
          <w:iCs w:val="false"/>
          <w:color w:val="213147"/>
          <w:sz w:val="20"/>
          <w:szCs w:val="20"/>
        </w:rPr>
        <w:t xml:space="preserve">Smallest possible surface; easy for any reviewer to approve; pairs naturally with Copilot doing the in-container aggregation.</w:t>
      </w:r>
    </w:p>
    <w:p>
      <w:pPr>
        <w:spacing w:after="60" w:before="60"/>
      </w:pPr>
      <w:r>
        <w:rPr>
          <w:rFonts w:ascii="Inter" w:cs="Inter" w:eastAsia="Inter" w:hAnsi="Inter"/>
          <w:b/>
          <w:bCs/>
          <w:color w:val="475569"/>
          <w:sz w:val="18"/>
          <w:szCs w:val="18"/>
        </w:rPr>
        <w:t xml:space="preserve">Costs and limits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rFonts w:ascii="Inter" w:cs="Inter" w:eastAsia="Inter" w:hAnsi="Inter"/>
          <w:b w:val="false"/>
          <w:bCs w:val="false"/>
          <w:i w:val="false"/>
          <w:iCs w:val="false"/>
          <w:color w:val="213147"/>
          <w:sz w:val="20"/>
          <w:szCs w:val="20"/>
        </w:rPr>
        <w:t xml:space="preserve">No outlier detection or row-level insight outside the container; small cells can still identify (a county with one grantee), so aggregation needs minimum-cell-size judgment.</w:t>
      </w:r>
    </w:p>
    <w:p>
      <w:pPr>
        <w:pStyle w:val="Heading2"/>
        <w:spacing w:after="100" w:before="220"/>
      </w:pPr>
      <w:r>
        <w:rPr>
          <w:rFonts w:ascii="Plus Jakarta Sans" w:cs="Plus Jakarta Sans" w:eastAsia="Plus Jakarta Sans" w:hAnsi="Plus Jakarta Sans"/>
          <w:b/>
          <w:bCs/>
          <w:color w:val="0B1D32"/>
          <w:sz w:val="22"/>
          <w:szCs w:val="22"/>
        </w:rPr>
        <w:t xml:space="preserve">Our recommendation, pending this conversation</w:t>
      </w:r>
    </w:p>
    <w:p>
      <w:pPr>
        <w:spacing w:after="120"/>
      </w:pPr>
      <w:r>
        <w:rPr>
          <w:rFonts w:ascii="Inter" w:cs="Inter" w:eastAsia="Inter" w:hAnsi="Inter"/>
          <w:b w:val="false"/>
          <w:bCs w:val="false"/>
          <w:i w:val="false"/>
          <w:iCs w:val="false"/>
          <w:color w:val="213147"/>
          <w:sz w:val="20"/>
          <w:szCs w:val="20"/>
        </w:rPr>
        <w:t xml:space="preserve">Default to Option 1 for the weekly data work, practiced from Lab 1 so the habit is automatic by week 7. Use Option 2 for all shared lab materials (already built that way). Use Option 3 whenever the task is narrative rather than analysis. The green/yellow/red classification habit, taught in Lab 4, is the decision layer that tells participants which technique applies to which data. If Wells Fargo's data governance team prefers a different default, the curriculum absorbs that change in one edit; the round-trip structure is technique-agnostic.</w:t>
      </w:r>
    </w:p>
    <w:p>
      <w:pPr>
        <w:pStyle w:val="Heading2"/>
        <w:spacing w:after="100" w:before="220"/>
      </w:pPr>
      <w:r>
        <w:rPr>
          <w:rFonts w:ascii="Plus Jakarta Sans" w:cs="Plus Jakarta Sans" w:eastAsia="Plus Jakarta Sans" w:hAnsi="Plus Jakarta Sans"/>
          <w:b/>
          <w:bCs/>
          <w:color w:val="0B1D32"/>
          <w:sz w:val="22"/>
          <w:szCs w:val="22"/>
        </w:rPr>
        <w:t xml:space="preserve">Decisions we need from Wells Fargo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rFonts w:ascii="Inter" w:cs="Inter" w:eastAsia="Inter" w:hAnsi="Inter"/>
          <w:b w:val="false"/>
          <w:bCs w:val="false"/>
          <w:i w:val="false"/>
          <w:iCs w:val="false"/>
          <w:color w:val="213147"/>
          <w:sz w:val="20"/>
          <w:szCs w:val="20"/>
        </w:rPr>
        <w:t xml:space="preserve">Which technique is the approved default for Wells Fargo staff, and does the answer differ for grantee participants working in their own systems?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rFonts w:ascii="Inter" w:cs="Inter" w:eastAsia="Inter" w:hAnsi="Inter"/>
          <w:b w:val="false"/>
          <w:bCs w:val="false"/>
          <w:i w:val="false"/>
          <w:iCs w:val="false"/>
          <w:color w:val="213147"/>
          <w:sz w:val="20"/>
          <w:szCs w:val="20"/>
        </w:rPr>
        <w:t xml:space="preserve">Desktop app installation on managed WF machines: who owns the IT approval request, and by what date? (Grantee machines are unlikely to be blocked; WF machines likely need a ticket, and the request should start when cohort 1 is confirmed.)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rFonts w:ascii="Inter" w:cs="Inter" w:eastAsia="Inter" w:hAnsi="Inter"/>
          <w:b w:val="false"/>
          <w:bCs w:val="false"/>
          <w:i w:val="false"/>
          <w:iCs w:val="false"/>
          <w:color w:val="213147"/>
          <w:sz w:val="20"/>
          <w:szCs w:val="20"/>
        </w:rPr>
        <w:t xml:space="preserve">Recording policy for the labs: recordings are part of the delivery model; what storage and access terms does WF want, and may participants use recordings with their own note tools?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rFonts w:ascii="Inter" w:cs="Inter" w:eastAsia="Inter" w:hAnsi="Inter"/>
          <w:b w:val="false"/>
          <w:bCs w:val="false"/>
          <w:i w:val="false"/>
          <w:iCs w:val="false"/>
          <w:color w:val="213147"/>
          <w:sz w:val="20"/>
          <w:szCs w:val="20"/>
        </w:rPr>
        <w:t xml:space="preserve">Agentic research tools in Lab 6: the default is a facilitator-run live demonstration requiring no participant accounts. Does WF want hands-on participant access instead, and if so, through what approval path?</w:t>
      </w:r>
    </w:p>
    <w:sectPr>
      <w:pgSz w:w="12240" w:h="15840" w:orient="portrait"/>
      <w:pgMar w:top="1080" w:right="1440" w:bottom="10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Inter" w:cs="Inter" w:eastAsia="Inter" w:hAnsi="Inter"/>
        <w:color w:val="213147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80" w:before="0"/>
      <w:outlineLvl w:val="0"/>
    </w:pPr>
    <w:rPr>
      <w:rFonts w:ascii="Plus Jakarta Sans" w:cs="Plus Jakarta Sans" w:eastAsia="Plus Jakarta Sans" w:hAnsi="Plus Jakarta Sans"/>
      <w:b/>
      <w:bCs/>
      <w:color w:val="0B1D32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00" w:before="220"/>
      <w:outlineLvl w:val="1"/>
    </w:pPr>
    <w:rPr>
      <w:rFonts w:ascii="Plus Jakarta Sans" w:cs="Plus Jakarta Sans" w:eastAsia="Plus Jakarta Sans" w:hAnsi="Plus Jakarta Sans"/>
      <w:b/>
      <w:bCs/>
      <w:color w:val="0B1D3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82e561d44b79010028420f8de162d1fc11688c25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2026-06-11T20:03:01.835Z</dcterms:created>
  <dcterms:modified xsi:type="dcterms:W3CDTF">2026-06-11T20:03:01.835Z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